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2E" w:rsidRDefault="0011632E" w:rsidP="0011632E">
      <w:r w:rsidRPr="0011632E">
        <w:rPr>
          <w:b/>
          <w:bCs/>
        </w:rPr>
        <w:t>Цель.</w:t>
      </w:r>
      <w:r>
        <w:t xml:space="preserve"> Изучение сосудистого возраста, 5-летнего риска развития сердечно-сосудистых осложнений (ССО) и коэффициента атерогенности у мужчин и женщин, страдающих артериальной гипертензией (АГ).</w:t>
      </w:r>
    </w:p>
    <w:p w:rsidR="0011632E" w:rsidRDefault="0011632E" w:rsidP="0011632E">
      <w:r w:rsidRPr="0011632E">
        <w:rPr>
          <w:rStyle w:val="Bold"/>
        </w:rPr>
        <w:t>Материал и методы.</w:t>
      </w:r>
      <w:r>
        <w:t xml:space="preserve"> Нами обследовано 105 медицинских карт (003/у) пациентов, получавших лечение в терапевтическом отделении Сырдарьинской центральной районной больницы. Оценка сосудистого возраста и риска сосудистых осложнений за 5 лет проводилась по шкале ASCORE. Коэффициент атерогенности вычисляли формулой (условная единица) (общий холестерин (ОХ)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липопротеиды высокой плотности (ЛПВП)) / ЛПВП. При статистическом анализе использована программа Statistica 10. Корреляционный и регрессионный анализы.</w:t>
      </w:r>
    </w:p>
    <w:p w:rsidR="0011632E" w:rsidRDefault="0011632E" w:rsidP="0011632E">
      <w:r w:rsidRPr="0011632E">
        <w:rPr>
          <w:b/>
          <w:bCs/>
        </w:rPr>
        <w:t>Результаты.</w:t>
      </w:r>
      <w:r>
        <w:t xml:space="preserve"> Средний возраст у мужчин составил 64,</w:t>
      </w:r>
      <w:proofErr w:type="gramStart"/>
      <w:r>
        <w:t>6</w:t>
      </w:r>
      <w:r>
        <w:rPr>
          <w:rFonts w:ascii="Arial" w:hAnsi="Arial" w:cs="Arial"/>
        </w:rPr>
        <w:t>  </w:t>
      </w:r>
      <w:r>
        <w:t>±</w:t>
      </w:r>
      <w:proofErr w:type="gramEnd"/>
      <w:r>
        <w:rPr>
          <w:rFonts w:ascii="Arial" w:hAnsi="Arial" w:cs="Arial"/>
        </w:rPr>
        <w:t>  </w:t>
      </w:r>
      <w:r>
        <w:t>9,5, женщин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66,9</w:t>
      </w:r>
      <w:r>
        <w:rPr>
          <w:rFonts w:ascii="Arial" w:hAnsi="Arial" w:cs="Arial"/>
        </w:rPr>
        <w:t>  </w:t>
      </w:r>
      <w:r>
        <w:t>±</w:t>
      </w:r>
      <w:r>
        <w:rPr>
          <w:rFonts w:ascii="Arial" w:hAnsi="Arial" w:cs="Arial"/>
        </w:rPr>
        <w:t>  </w:t>
      </w:r>
      <w:r>
        <w:t>10,05. При определении сосудистого возраста по шкале ASCORE было выявлено различие сосудистого и биологического возраста в пользу повышения в обеих группах (70,</w:t>
      </w:r>
      <w:proofErr w:type="gramStart"/>
      <w:r>
        <w:t>2</w:t>
      </w:r>
      <w:r>
        <w:rPr>
          <w:rFonts w:ascii="Arial" w:hAnsi="Arial" w:cs="Arial"/>
        </w:rPr>
        <w:t>  </w:t>
      </w:r>
      <w:r>
        <w:t>±</w:t>
      </w:r>
      <w:proofErr w:type="gramEnd"/>
      <w:r>
        <w:rPr>
          <w:rFonts w:ascii="Arial" w:hAnsi="Arial" w:cs="Arial"/>
        </w:rPr>
        <w:t>  </w:t>
      </w:r>
      <w:r>
        <w:t>10,8 и 74,2</w:t>
      </w:r>
      <w:r>
        <w:rPr>
          <w:rFonts w:ascii="Arial" w:hAnsi="Arial" w:cs="Arial"/>
        </w:rPr>
        <w:t>  </w:t>
      </w:r>
      <w:r>
        <w:t>±</w:t>
      </w:r>
      <w:r>
        <w:rPr>
          <w:rFonts w:ascii="Arial" w:hAnsi="Arial" w:cs="Arial"/>
        </w:rPr>
        <w:t>  </w:t>
      </w:r>
      <w:r>
        <w:t>9,8 соответственно). При оценке 5-летнего риска по ASCORE (в %) у мужчин в 2,56</w:t>
      </w:r>
      <w:r>
        <w:rPr>
          <w:rFonts w:ascii="Arial" w:hAnsi="Arial" w:cs="Arial"/>
        </w:rPr>
        <w:t> </w:t>
      </w:r>
      <w:r>
        <w:t>% отмечался низкий риск ССО, в 25,64</w:t>
      </w:r>
      <w:r>
        <w:rPr>
          <w:rFonts w:ascii="Arial" w:hAnsi="Arial" w:cs="Arial"/>
        </w:rPr>
        <w:t> </w:t>
      </w:r>
      <w:r>
        <w:t>% был выявлен умеренный, в 69,23</w:t>
      </w:r>
      <w:r>
        <w:rPr>
          <w:rFonts w:ascii="Arial" w:hAnsi="Arial" w:cs="Arial"/>
        </w:rPr>
        <w:t> </w:t>
      </w:r>
      <w:r>
        <w:t>%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высокий, а в 2,56</w:t>
      </w:r>
      <w:r>
        <w:rPr>
          <w:rFonts w:ascii="Arial" w:hAnsi="Arial" w:cs="Arial"/>
        </w:rPr>
        <w:t> </w:t>
      </w:r>
      <w:r>
        <w:t>%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очень высокий риск ССО. Во 2-й группе (женщины) в 6,06</w:t>
      </w:r>
      <w:r>
        <w:rPr>
          <w:rFonts w:ascii="Arial" w:hAnsi="Arial" w:cs="Arial"/>
        </w:rPr>
        <w:t> </w:t>
      </w:r>
      <w:r>
        <w:t>% отмечался низкий, в 30,3</w:t>
      </w:r>
      <w:r>
        <w:rPr>
          <w:rFonts w:ascii="Arial" w:hAnsi="Arial" w:cs="Arial"/>
        </w:rPr>
        <w:t> </w:t>
      </w:r>
      <w:r>
        <w:t>% был выявлен умеренный, в 60,6</w:t>
      </w:r>
      <w:r>
        <w:rPr>
          <w:rFonts w:ascii="Arial" w:hAnsi="Arial" w:cs="Arial"/>
        </w:rPr>
        <w:t> </w:t>
      </w:r>
      <w:r>
        <w:t>%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высокий, а в 3,03</w:t>
      </w:r>
      <w:r>
        <w:rPr>
          <w:rFonts w:ascii="Arial" w:hAnsi="Arial" w:cs="Arial"/>
        </w:rPr>
        <w:t> </w:t>
      </w:r>
      <w:r>
        <w:t>%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очень высокий риск ССО. Между коэффициентом атерогенности и риском развития ССО установлена прямая корреляционная связь (</w:t>
      </w:r>
      <w:proofErr w:type="gramStart"/>
      <w:r>
        <w:t>r</w:t>
      </w:r>
      <w:r>
        <w:rPr>
          <w:rFonts w:ascii="Arial" w:hAnsi="Arial" w:cs="Arial"/>
        </w:rPr>
        <w:t>  </w:t>
      </w:r>
      <w:r>
        <w:t>=</w:t>
      </w:r>
      <w:proofErr w:type="gramEnd"/>
      <w:r>
        <w:rPr>
          <w:rFonts w:ascii="Arial" w:hAnsi="Arial" w:cs="Arial"/>
        </w:rPr>
        <w:t>  </w:t>
      </w:r>
      <w:r>
        <w:t>7019; р</w:t>
      </w:r>
      <w:r>
        <w:rPr>
          <w:rFonts w:ascii="Arial" w:hAnsi="Arial" w:cs="Arial"/>
        </w:rPr>
        <w:t>  </w:t>
      </w:r>
      <w:r>
        <w:t>=</w:t>
      </w:r>
      <w:r>
        <w:rPr>
          <w:rFonts w:ascii="Arial" w:hAnsi="Arial" w:cs="Arial"/>
        </w:rPr>
        <w:t>  </w:t>
      </w:r>
      <w:r>
        <w:t>0,0000). Также была взаимосвязь между сосудистым возрастом и 5-летним риском развития ССО (коэффициент регрессии R</w:t>
      </w:r>
      <w:proofErr w:type="gramStart"/>
      <w:r>
        <w:t>2</w:t>
      </w:r>
      <w:r>
        <w:rPr>
          <w:rFonts w:ascii="Arial" w:hAnsi="Arial" w:cs="Arial"/>
        </w:rPr>
        <w:t>  </w:t>
      </w:r>
      <w:r>
        <w:t>=</w:t>
      </w:r>
      <w:proofErr w:type="gramEnd"/>
      <w:r>
        <w:rPr>
          <w:rFonts w:ascii="Arial" w:hAnsi="Arial" w:cs="Arial"/>
        </w:rPr>
        <w:t>  </w:t>
      </w:r>
      <w:r>
        <w:t>57,6</w:t>
      </w:r>
      <w:r>
        <w:rPr>
          <w:rFonts w:ascii="Arial" w:hAnsi="Arial" w:cs="Arial"/>
        </w:rPr>
        <w:t> </w:t>
      </w:r>
      <w:r>
        <w:t>%; p</w:t>
      </w:r>
      <w:r>
        <w:rPr>
          <w:rFonts w:ascii="Arial" w:hAnsi="Arial" w:cs="Arial"/>
        </w:rPr>
        <w:t>  </w:t>
      </w:r>
      <w:r>
        <w:t>=</w:t>
      </w:r>
      <w:r>
        <w:rPr>
          <w:rFonts w:ascii="Arial" w:hAnsi="Arial" w:cs="Arial"/>
        </w:rPr>
        <w:t>  </w:t>
      </w:r>
      <w:r>
        <w:t>0,0000).</w:t>
      </w:r>
    </w:p>
    <w:p w:rsidR="0011632E" w:rsidRDefault="0011632E" w:rsidP="0011632E">
      <w:r>
        <w:t>В 1-й группе (мужчины) в 41,1</w:t>
      </w:r>
      <w:r>
        <w:rPr>
          <w:rFonts w:ascii="Arial" w:hAnsi="Arial" w:cs="Arial"/>
        </w:rPr>
        <w:t> </w:t>
      </w:r>
      <w:r>
        <w:t>% был нормальный коэффициент атерогенности, в 51,3</w:t>
      </w:r>
      <w:r>
        <w:rPr>
          <w:rFonts w:ascii="Arial" w:hAnsi="Arial" w:cs="Arial"/>
        </w:rPr>
        <w:t> </w:t>
      </w:r>
      <w:r>
        <w:t>%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умеренная вероятность развития атеросклероза, а в 3</w:t>
      </w:r>
      <w:r>
        <w:rPr>
          <w:rFonts w:ascii="Arial" w:hAnsi="Arial" w:cs="Arial"/>
        </w:rPr>
        <w:t> </w:t>
      </w:r>
      <w:r>
        <w:t>%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Italic" w:hAnsi="DINPro-Italic" w:cs="DINPro-Italic"/>
        </w:rPr>
        <w:t>​</w:t>
      </w:r>
      <w:r>
        <w:t>высо</w:t>
      </w:r>
      <w:bookmarkStart w:id="0" w:name="_GoBack"/>
      <w:bookmarkEnd w:id="0"/>
      <w:r>
        <w:t>кий риск развития атеросклероза. Во 2-й группе (женщины) в 43,9</w:t>
      </w:r>
      <w:r>
        <w:rPr>
          <w:rFonts w:ascii="Arial" w:hAnsi="Arial" w:cs="Arial"/>
        </w:rPr>
        <w:t> </w:t>
      </w:r>
      <w:r>
        <w:t>% был нормальный атерогенный коэффициент, в 39,9</w:t>
      </w:r>
      <w:r>
        <w:rPr>
          <w:rFonts w:ascii="Arial" w:hAnsi="Arial" w:cs="Arial"/>
        </w:rPr>
        <w:t> </w:t>
      </w:r>
      <w:r>
        <w:t>% и 16,6</w:t>
      </w:r>
      <w:r>
        <w:rPr>
          <w:rFonts w:ascii="Arial" w:hAnsi="Arial" w:cs="Arial"/>
        </w:rPr>
        <w:t> </w:t>
      </w:r>
      <w:r>
        <w:t>% отмечались умеренный и высокий риски развития атеросклероза соответственно.</w:t>
      </w:r>
    </w:p>
    <w:p w:rsidR="0011632E" w:rsidRDefault="0011632E" w:rsidP="0011632E">
      <w:r w:rsidRPr="0011632E">
        <w:rPr>
          <w:rFonts w:ascii="DINPro-Bold" w:hAnsi="DINPro-Bold" w:cs="DINPro-Bold"/>
          <w:b/>
          <w:bCs/>
        </w:rPr>
        <w:t>Заключение.</w:t>
      </w:r>
      <w:r>
        <w:rPr>
          <w:rFonts w:ascii="DINPro-Bold" w:hAnsi="DINPro-Bold" w:cs="DINPro-Bold"/>
          <w:b/>
          <w:bCs/>
          <w:i/>
          <w:iCs/>
        </w:rPr>
        <w:t xml:space="preserve"> </w:t>
      </w:r>
      <w:r>
        <w:t>Таким образом, нами установлена прямая связь между сосудистым возрастом, индексом атерогенности и 5-летним риском ССО у пациентов с АГ. Сосудистый возраст может быть независимым прогностическим фактором развития АГ и ее ССО.</w:t>
      </w:r>
    </w:p>
    <w:p w:rsidR="0011632E" w:rsidRDefault="0011632E" w:rsidP="0011632E">
      <w:r>
        <w:t>Определение сосудистого возраста можно использовать, как скрининговый метод обследования пациентов с АГ, как биомаркер прогноза ССО.</w:t>
      </w:r>
    </w:p>
    <w:p w:rsidR="0011632E" w:rsidRDefault="0011632E" w:rsidP="0011632E">
      <w:r w:rsidRPr="0011632E">
        <w:rPr>
          <w:rFonts w:ascii="DINPro-Bold" w:hAnsi="DINPro-Bold" w:cs="DINPro-Bold"/>
          <w:b/>
          <w:bCs/>
        </w:rPr>
        <w:t>Ключевые слова:</w:t>
      </w:r>
      <w:r>
        <w:rPr>
          <w:rFonts w:ascii="DINPro-Bold" w:hAnsi="DINPro-Bold" w:cs="DINPro-Bold"/>
          <w:b/>
          <w:bCs/>
          <w:i/>
          <w:iCs/>
        </w:rPr>
        <w:t xml:space="preserve"> </w:t>
      </w:r>
      <w:r>
        <w:t>артериальная гипертензия, сосудистый возраст, шкала ASCORE, оценка сосудистого риска, атерогенный коэффициент.</w:t>
      </w:r>
    </w:p>
    <w:p w:rsidR="00A9204C" w:rsidRPr="0011632E" w:rsidRDefault="00A9204C" w:rsidP="0011632E"/>
    <w:sectPr w:rsidR="00A9204C" w:rsidRPr="0011632E" w:rsidSect="00D55C3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Italic">
    <w:panose1 w:val="020B05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Pro-Bold">
    <w:panose1 w:val="020B08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E"/>
    <w:rsid w:val="0011632E"/>
    <w:rsid w:val="006E3F2E"/>
    <w:rsid w:val="00A9204C"/>
    <w:rsid w:val="00B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09F76"/>
  <w15:chartTrackingRefBased/>
  <w15:docId w15:val="{6A5E468F-A3A7-40DA-85A2-D5724F8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">
    <w:name w:val="LeadText (СТАРТ)"/>
    <w:basedOn w:val="a"/>
    <w:next w:val="a"/>
    <w:uiPriority w:val="99"/>
    <w:rsid w:val="006E3F2E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Italic" w:hAnsi="DINPro-Italic" w:cs="DINPro-Italic"/>
      <w:i/>
      <w:iCs/>
      <w:color w:val="000000"/>
      <w:sz w:val="18"/>
      <w:szCs w:val="18"/>
    </w:rPr>
  </w:style>
  <w:style w:type="character" w:customStyle="1" w:styleId="Bold">
    <w:name w:val="Bold"/>
    <w:uiPriority w:val="99"/>
    <w:rsid w:val="006E3F2E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2020-02-14T06:26:00Z</dcterms:created>
  <dcterms:modified xsi:type="dcterms:W3CDTF">2020-02-14T06:26:00Z</dcterms:modified>
</cp:coreProperties>
</file>